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兰州新区供排水有限公司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供水水质公示（</w:t>
      </w:r>
      <w:r>
        <w:rPr>
          <w:rFonts w:hint="eastAsia" w:ascii="Times New Roman" w:hAnsi="Times New Roman" w:cs="Times New Roman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月）</w:t>
      </w:r>
    </w:p>
    <w:p>
      <w:pPr>
        <w:spacing w:line="480" w:lineRule="exact"/>
        <w:rPr>
          <w:sz w:val="24"/>
        </w:rPr>
      </w:pPr>
      <w:r>
        <w:rPr>
          <w:rFonts w:hint="eastAsia"/>
          <w:sz w:val="24"/>
        </w:rPr>
        <w:t>（一）出厂水九项指标检测结果</w:t>
      </w:r>
    </w:p>
    <w:tbl>
      <w:tblPr>
        <w:tblStyle w:val="6"/>
        <w:tblW w:w="8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100"/>
        <w:gridCol w:w="306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《生活饮用水卫生标准》限值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0.4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与水接触时间</w:t>
            </w:r>
            <w:r>
              <w:rPr>
                <w:rFonts w:ascii="Arial" w:hAnsi="Arial" w:cs="Arial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>30min</w:t>
            </w:r>
            <w:r>
              <w:rPr>
                <w:rFonts w:hint="eastAsia" w:asciiTheme="minorEastAsia" w:hAnsiTheme="minorEastAsia" w:cstheme="minorEastAsia"/>
                <w:szCs w:val="21"/>
              </w:rPr>
              <w:t>,出厂水中余氯</w:t>
            </w:r>
            <w:r>
              <w:rPr>
                <w:rFonts w:hint="eastAsia" w:ascii="Times New Roman" w:hAnsi="Times New Roman" w:cs="Times New Roman"/>
                <w:szCs w:val="21"/>
              </w:rPr>
              <w:t>0.3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4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3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06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4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</w:tr>
    </w:tbl>
    <w:tbl>
      <w:tblPr>
        <w:tblStyle w:val="6"/>
        <w:tblpPr w:leftFromText="180" w:rightFromText="180" w:vertAnchor="text" w:horzAnchor="page" w:tblpX="1752" w:tblpY="477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920"/>
        <w:gridCol w:w="3269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计量单位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GB5749—2006</w:t>
            </w:r>
            <w:r>
              <w:rPr>
                <w:rFonts w:hint="eastAsia"/>
                <w:szCs w:val="21"/>
              </w:rPr>
              <w:t>《生活饮用水卫生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标准》限值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色度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铂钴色度单位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&lt;</w:t>
            </w: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臭和味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无异臭异味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肉眼可见物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浑浊度（散射浑浊度单位）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NTU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1NTU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游离氯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管网末梢水中余量</w:t>
            </w:r>
            <w:r>
              <w:rPr>
                <w:rFonts w:ascii="Times New Roman" w:hAnsi="Times New Roman" w:cs="Times New Roman"/>
                <w:szCs w:val="21"/>
              </w:rPr>
              <w:t>≥0.05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hint="eastAsia" w:ascii="Times New Roman" w:hAnsi="Times New Roman" w:cs="Times New Roman"/>
                <w:szCs w:val="21"/>
              </w:rPr>
              <w:t>05</w:t>
            </w:r>
            <w:r>
              <w:rPr>
                <w:rFonts w:ascii="Times New Roman" w:hAnsi="Times New Roman" w:cs="Times New Roman"/>
                <w:szCs w:val="21"/>
              </w:rPr>
              <w:t>~0</w:t>
            </w:r>
            <w:r>
              <w:rPr>
                <w:rFonts w:hint="eastAsia" w:ascii="Times New Roman" w:hAnsi="Times New Roman" w:cs="Times New Roman"/>
                <w:szCs w:val="21"/>
              </w:rPr>
              <w:t>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菌群总数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CFU/ml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0~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耐热大肠菌群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MPN/100ml或CFU/100ml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耗氧量（COD</w:t>
            </w:r>
            <w:r>
              <w:rPr>
                <w:rFonts w:hint="eastAsia"/>
                <w:szCs w:val="21"/>
                <w:vertAlign w:val="subscript"/>
              </w:rPr>
              <w:t>Mn</w:t>
            </w:r>
            <w:r>
              <w:rPr>
                <w:rFonts w:hint="eastAsia"/>
                <w:szCs w:val="21"/>
              </w:rPr>
              <w:t>法，以O</w:t>
            </w:r>
            <w:r>
              <w:rPr>
                <w:rFonts w:hint="eastAsia"/>
                <w:szCs w:val="21"/>
                <w:vertAlign w:val="subscript"/>
              </w:rPr>
              <w:t>2</w:t>
            </w:r>
            <w:r>
              <w:rPr>
                <w:rFonts w:hint="eastAsia"/>
                <w:szCs w:val="21"/>
              </w:rPr>
              <w:t>计）计）</w:t>
            </w:r>
          </w:p>
        </w:tc>
        <w:tc>
          <w:tcPr>
            <w:tcW w:w="19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mg/L</w:t>
            </w:r>
          </w:p>
        </w:tc>
        <w:tc>
          <w:tcPr>
            <w:tcW w:w="3269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~1.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5</w:t>
            </w:r>
          </w:p>
        </w:tc>
      </w:tr>
    </w:tbl>
    <w:p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管网水九项指标检测结果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br w:type="page"/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hint="eastAsia" w:ascii="黑体" w:eastAsia="黑体"/>
          <w:bCs/>
          <w:sz w:val="24"/>
          <w:szCs w:val="22"/>
        </w:rPr>
        <w:t>说明：</w:t>
      </w:r>
      <w:r>
        <w:rPr>
          <w:rFonts w:ascii="黑体" w:eastAsia="黑体"/>
          <w:bCs/>
          <w:sz w:val="24"/>
          <w:szCs w:val="22"/>
        </w:rPr>
        <w:t>1</w:t>
      </w:r>
      <w:r>
        <w:rPr>
          <w:rFonts w:hint="eastAsia" w:ascii="黑体" w:eastAsia="黑体"/>
          <w:bCs/>
          <w:sz w:val="24"/>
          <w:szCs w:val="22"/>
        </w:rPr>
        <w:t>、兰州新区供排水有限公司供水水质执行</w:t>
      </w:r>
      <w:r>
        <w:rPr>
          <w:rFonts w:ascii="黑体" w:eastAsia="黑体"/>
          <w:bCs/>
          <w:sz w:val="24"/>
          <w:szCs w:val="22"/>
        </w:rPr>
        <w:t>GB5749-2006</w:t>
      </w:r>
      <w:r>
        <w:fldChar w:fldCharType="begin"/>
      </w:r>
      <w:r>
        <w:instrText xml:space="preserve"> HYPERLINK "http://www.gzwatersupply.com/2010commom/1331794671199000.html3?n_channelid=1149500314031000&amp;formname=div2010alldetail" \t "http://www.lanzhouvw.cn/_blank" </w:instrText>
      </w:r>
      <w:r>
        <w:fldChar w:fldCharType="separate"/>
      </w:r>
      <w:r>
        <w:rPr>
          <w:rFonts w:hint="eastAsia" w:ascii="黑体" w:eastAsia="黑体"/>
          <w:bCs/>
          <w:sz w:val="24"/>
          <w:szCs w:val="22"/>
        </w:rPr>
        <w:t>《生活饮用水卫生标准》</w:t>
      </w:r>
      <w:r>
        <w:rPr>
          <w:rFonts w:hint="eastAsia" w:ascii="黑体" w:eastAsia="黑体"/>
          <w:bCs/>
          <w:sz w:val="24"/>
          <w:szCs w:val="22"/>
        </w:rPr>
        <w:fldChar w:fldCharType="end"/>
      </w:r>
      <w:r>
        <w:rPr>
          <w:rFonts w:hint="eastAsia" w:ascii="黑体" w:eastAsia="黑体"/>
          <w:bCs/>
          <w:sz w:val="24"/>
          <w:szCs w:val="22"/>
        </w:rPr>
        <w:t>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2</w:t>
      </w:r>
      <w:r>
        <w:rPr>
          <w:rFonts w:hint="eastAsia" w:ascii="黑体" w:eastAsia="黑体"/>
          <w:bCs/>
          <w:sz w:val="24"/>
          <w:szCs w:val="22"/>
        </w:rPr>
        <w:t>、按照兰州新区供排水有限公司水质公示要求，每月公布出厂水</w:t>
      </w:r>
      <w:r>
        <w:rPr>
          <w:rFonts w:ascii="黑体" w:eastAsia="黑体"/>
          <w:bCs/>
          <w:sz w:val="24"/>
          <w:szCs w:val="22"/>
        </w:rPr>
        <w:t>9</w:t>
      </w:r>
      <w:r>
        <w:rPr>
          <w:rFonts w:hint="eastAsia" w:ascii="黑体" w:eastAsia="黑体"/>
          <w:bCs/>
          <w:sz w:val="24"/>
          <w:szCs w:val="22"/>
        </w:rPr>
        <w:t>项指标和管网水9项指标的检测结果；每季度公示原水、出厂水和管网水常规42项指标中的适用指标35项（3项消毒剂和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项消毒副产物指标不适用）；半年公布一次出厂水和管网水106项指标中的适用指标99项（3项消毒剂和</w:t>
      </w:r>
      <w:r>
        <w:rPr>
          <w:rFonts w:ascii="黑体" w:eastAsia="黑体"/>
          <w:bCs/>
          <w:sz w:val="24"/>
          <w:szCs w:val="22"/>
        </w:rPr>
        <w:t>4</w:t>
      </w:r>
      <w:r>
        <w:rPr>
          <w:rFonts w:hint="eastAsia" w:ascii="黑体" w:eastAsia="黑体"/>
          <w:bCs/>
          <w:sz w:val="24"/>
          <w:szCs w:val="22"/>
        </w:rPr>
        <w:t>项消毒副产物指标不适用）；数据每月</w:t>
      </w:r>
      <w:r>
        <w:rPr>
          <w:rFonts w:ascii="黑体" w:eastAsia="黑体"/>
          <w:bCs/>
          <w:sz w:val="24"/>
          <w:szCs w:val="22"/>
        </w:rPr>
        <w:t>15</w:t>
      </w:r>
      <w:r>
        <w:rPr>
          <w:rFonts w:hint="eastAsia" w:ascii="黑体" w:eastAsia="黑体"/>
          <w:bCs/>
          <w:sz w:val="24"/>
          <w:szCs w:val="22"/>
        </w:rPr>
        <w:t>日前更新。</w:t>
      </w:r>
    </w:p>
    <w:p>
      <w:pPr>
        <w:rPr>
          <w:rFonts w:ascii="黑体" w:eastAsia="黑体"/>
          <w:bCs/>
          <w:sz w:val="24"/>
          <w:szCs w:val="22"/>
        </w:rPr>
      </w:pPr>
      <w:r>
        <w:rPr>
          <w:rFonts w:ascii="黑体" w:eastAsia="黑体"/>
          <w:bCs/>
          <w:sz w:val="24"/>
          <w:szCs w:val="22"/>
        </w:rPr>
        <w:t>3</w:t>
      </w:r>
      <w:r>
        <w:rPr>
          <w:rFonts w:hint="eastAsia" w:ascii="黑体" w:eastAsia="黑体"/>
          <w:bCs/>
          <w:sz w:val="24"/>
          <w:szCs w:val="22"/>
        </w:rPr>
        <w:t>、以上公示数据由兰州新区供排水有限公司</w:t>
      </w:r>
      <w:r>
        <w:rPr>
          <w:rFonts w:hint="eastAsia" w:ascii="黑体" w:eastAsia="黑体"/>
          <w:bCs/>
          <w:sz w:val="24"/>
          <w:szCs w:val="22"/>
          <w:lang w:eastAsia="zh-CN"/>
        </w:rPr>
        <w:t>生产经营</w:t>
      </w:r>
      <w:r>
        <w:rPr>
          <w:rFonts w:hint="eastAsia" w:ascii="黑体" w:eastAsia="黑体"/>
          <w:bCs/>
          <w:sz w:val="24"/>
          <w:szCs w:val="22"/>
        </w:rPr>
        <w:t>部提供。</w:t>
      </w:r>
    </w:p>
    <w:p>
      <w:pPr>
        <w:rPr>
          <w:sz w:val="24"/>
        </w:rPr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58DFA0"/>
    <w:multiLevelType w:val="singleLevel"/>
    <w:tmpl w:val="9A58DFA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D7245B"/>
    <w:multiLevelType w:val="multilevel"/>
    <w:tmpl w:val="2AD7245B"/>
    <w:lvl w:ilvl="0" w:tentative="0">
      <w:start w:val="1"/>
      <w:numFmt w:val="decimal"/>
      <w:lvlText w:val="第%1章"/>
      <w:lvlJc w:val="left"/>
      <w:pPr>
        <w:tabs>
          <w:tab w:val="left" w:pos="964"/>
        </w:tabs>
        <w:ind w:left="0" w:firstLine="0"/>
      </w:pPr>
      <w:rPr>
        <w:rFonts w:hint="eastAsia" w:ascii="黑体" w:eastAsia="黑体"/>
        <w:b/>
        <w:i w:val="0"/>
        <w:sz w:val="32"/>
        <w:szCs w:val="32"/>
        <w:lang w:val="en-US"/>
      </w:rPr>
    </w:lvl>
    <w:lvl w:ilvl="1" w:tentative="0">
      <w:start w:val="1"/>
      <w:numFmt w:val="decimal"/>
      <w:lvlText w:val="%1.%2"/>
      <w:lvlJc w:val="left"/>
      <w:pPr>
        <w:tabs>
          <w:tab w:val="left" w:pos="567"/>
        </w:tabs>
        <w:ind w:left="0" w:firstLine="0"/>
      </w:pPr>
      <w:rPr>
        <w:rFonts w:hint="default" w:ascii="Times New Roman" w:hAnsi="Times New Roman" w:eastAsia="黑体"/>
        <w:b/>
        <w:i w:val="0"/>
        <w:sz w:val="28"/>
        <w:szCs w:val="28"/>
      </w:rPr>
    </w:lvl>
    <w:lvl w:ilvl="2" w:tentative="0">
      <w:start w:val="1"/>
      <w:numFmt w:val="decimal"/>
      <w:lvlText w:val="%1.%2.%3"/>
      <w:lvlJc w:val="left"/>
      <w:pPr>
        <w:tabs>
          <w:tab w:val="left" w:pos="822"/>
        </w:tabs>
        <w:ind w:left="142" w:firstLine="0"/>
      </w:pPr>
      <w:rPr>
        <w:rFonts w:hint="eastAsia" w:eastAsia="黑体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716"/>
        </w:tabs>
        <w:ind w:left="1984" w:hanging="1984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BhOWRhMTdjMzhjZTEyZWUyMzY1OWE0MTY0YjJhZDMifQ=="/>
  </w:docVars>
  <w:rsids>
    <w:rsidRoot w:val="62310CAD"/>
    <w:rsid w:val="00052E0A"/>
    <w:rsid w:val="000D2376"/>
    <w:rsid w:val="001B7025"/>
    <w:rsid w:val="002465D5"/>
    <w:rsid w:val="00360703"/>
    <w:rsid w:val="00413CA1"/>
    <w:rsid w:val="00417313"/>
    <w:rsid w:val="00464829"/>
    <w:rsid w:val="004F4EFE"/>
    <w:rsid w:val="00710CA9"/>
    <w:rsid w:val="007D44FD"/>
    <w:rsid w:val="008227FB"/>
    <w:rsid w:val="00822B30"/>
    <w:rsid w:val="00A0104D"/>
    <w:rsid w:val="00A158A5"/>
    <w:rsid w:val="00A2101F"/>
    <w:rsid w:val="00A21692"/>
    <w:rsid w:val="00B04EA9"/>
    <w:rsid w:val="00C045A9"/>
    <w:rsid w:val="00C572C4"/>
    <w:rsid w:val="00C853A9"/>
    <w:rsid w:val="00CF6F54"/>
    <w:rsid w:val="00D60DFF"/>
    <w:rsid w:val="00E11844"/>
    <w:rsid w:val="00E23DF1"/>
    <w:rsid w:val="00E578DD"/>
    <w:rsid w:val="00EA6563"/>
    <w:rsid w:val="00F65370"/>
    <w:rsid w:val="03727F7B"/>
    <w:rsid w:val="049C151B"/>
    <w:rsid w:val="06195D16"/>
    <w:rsid w:val="088027FE"/>
    <w:rsid w:val="08ED33E9"/>
    <w:rsid w:val="0A031EE4"/>
    <w:rsid w:val="0DA46AA5"/>
    <w:rsid w:val="14FC76F4"/>
    <w:rsid w:val="156D374D"/>
    <w:rsid w:val="15AD6BC8"/>
    <w:rsid w:val="1BE16390"/>
    <w:rsid w:val="1DBA541D"/>
    <w:rsid w:val="29F500C5"/>
    <w:rsid w:val="2D2315E7"/>
    <w:rsid w:val="2E1E29C5"/>
    <w:rsid w:val="3A035083"/>
    <w:rsid w:val="3A2B3139"/>
    <w:rsid w:val="3B014B22"/>
    <w:rsid w:val="457F7301"/>
    <w:rsid w:val="49626E89"/>
    <w:rsid w:val="4A53778D"/>
    <w:rsid w:val="520523E8"/>
    <w:rsid w:val="521518CE"/>
    <w:rsid w:val="52914F1B"/>
    <w:rsid w:val="53434EA8"/>
    <w:rsid w:val="59557F8C"/>
    <w:rsid w:val="59577A65"/>
    <w:rsid w:val="59B4523A"/>
    <w:rsid w:val="607116DF"/>
    <w:rsid w:val="62310CAD"/>
    <w:rsid w:val="6371708C"/>
    <w:rsid w:val="63804645"/>
    <w:rsid w:val="63E45437"/>
    <w:rsid w:val="6801124D"/>
    <w:rsid w:val="6A901E72"/>
    <w:rsid w:val="6AFB28CB"/>
    <w:rsid w:val="71773BB1"/>
    <w:rsid w:val="72CA7882"/>
    <w:rsid w:val="75A17DA2"/>
    <w:rsid w:val="7AB94B31"/>
    <w:rsid w:val="7CB4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keepLines/>
      <w:numPr>
        <w:ilvl w:val="3"/>
        <w:numId w:val="1"/>
      </w:numPr>
      <w:spacing w:before="40" w:after="120" w:line="480" w:lineRule="auto"/>
      <w:outlineLvl w:val="3"/>
    </w:pPr>
    <w:rPr>
      <w:rFonts w:eastAsia="黑体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样式 标题 4 + 宋体"/>
    <w:basedOn w:val="2"/>
    <w:qFormat/>
    <w:uiPriority w:val="0"/>
    <w:pPr>
      <w:numPr>
        <w:ilvl w:val="0"/>
        <w:numId w:val="0"/>
      </w:numPr>
      <w:spacing w:line="240" w:lineRule="auto"/>
      <w:ind w:left="590" w:firstLine="241" w:firstLineChars="100"/>
      <w:jc w:val="left"/>
      <w:outlineLvl w:val="9"/>
    </w:pPr>
    <w:rPr>
      <w:rFonts w:ascii="宋体" w:hAns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2186</Words>
  <Characters>3820</Characters>
  <Lines>7</Lines>
  <Paragraphs>2</Paragraphs>
  <TotalTime>4</TotalTime>
  <ScaleCrop>false</ScaleCrop>
  <LinksUpToDate>false</LinksUpToDate>
  <CharactersWithSpaces>3823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2017-12-06T05:01:00Z</dcterms:created>
  <dc:creator>Administrator</dc:creator>
  <cp:lastModifiedBy>看花落丶连成线</cp:lastModifiedBy>
  <cp:lastPrinted>2020-03-04T03:58:00Z</cp:lastPrinted>
  <dcterms:modified xsi:type="dcterms:W3CDTF">2022-10-18T07:22:10Z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6ACDB0B730BE4BAD994417A7E37DD4C1</vt:lpwstr>
  </property>
</Properties>
</file>